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pPr>
      <w:bookmarkStart w:colFirst="0" w:colLast="0" w:name="_8jfpw531l9sn" w:id="0"/>
      <w:bookmarkEnd w:id="0"/>
      <w:r w:rsidDel="00000000" w:rsidR="00000000" w:rsidRPr="00000000">
        <w:rPr>
          <w:color w:val="bb181d"/>
          <w:rtl w:val="0"/>
        </w:rPr>
        <w:t xml:space="preserve">￭ Module:</w:t>
      </w:r>
      <w:r w:rsidDel="00000000" w:rsidR="00000000" w:rsidRPr="00000000">
        <w:rPr>
          <w:rtl w:val="0"/>
        </w:rPr>
        <w:t xml:space="preserve"> Citizenship</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858000" cy="1257300"/>
            <wp:effectExtent b="0" l="0" r="0" t="0"/>
            <wp:wrapTopAndBottom distB="0" distT="0"/>
            <wp:docPr descr="Logo for Civil Discourse: An American Legacy Toolkit, produced by the Center for Civic Education." id="1" name="image3.png"/>
            <a:graphic>
              <a:graphicData uri="http://schemas.openxmlformats.org/drawingml/2006/picture">
                <pic:pic>
                  <pic:nvPicPr>
                    <pic:cNvPr descr="Logo for Civil Discourse: An American Legacy Toolkit, produced by the Center for Civic Education." id="0" name="image3.png"/>
                    <pic:cNvPicPr preferRelativeResize="0"/>
                  </pic:nvPicPr>
                  <pic:blipFill>
                    <a:blip r:embed="rId6"/>
                    <a:srcRect b="0" l="0" r="0" t="0"/>
                    <a:stretch>
                      <a:fillRect/>
                    </a:stretch>
                  </pic:blipFill>
                  <pic:spPr>
                    <a:xfrm>
                      <a:off x="0" y="0"/>
                      <a:ext cx="6858000" cy="1257300"/>
                    </a:xfrm>
                    <a:prstGeom prst="rect"/>
                    <a:ln/>
                  </pic:spPr>
                </pic:pic>
              </a:graphicData>
            </a:graphic>
          </wp:anchor>
        </w:drawing>
      </w:r>
    </w:p>
    <w:p w:rsidR="00000000" w:rsidDel="00000000" w:rsidP="00000000" w:rsidRDefault="00000000" w:rsidRPr="00000000" w14:paraId="00000002">
      <w:pPr>
        <w:pStyle w:val="Heading2"/>
        <w:spacing w:before="0" w:lineRule="auto"/>
        <w:rPr/>
      </w:pPr>
      <w:bookmarkStart w:colFirst="0" w:colLast="0" w:name="_2p14qghiwie4" w:id="1"/>
      <w:bookmarkEnd w:id="1"/>
      <w:r w:rsidDel="00000000" w:rsidR="00000000" w:rsidRPr="00000000">
        <w:rPr>
          <w:rtl w:val="0"/>
        </w:rPr>
        <w:t xml:space="preserve">Overview</w:t>
      </w:r>
    </w:p>
    <w:p w:rsidR="00000000" w:rsidDel="00000000" w:rsidP="00000000" w:rsidRDefault="00000000" w:rsidRPr="00000000" w14:paraId="00000003">
      <w:pPr>
        <w:pStyle w:val="Heading3"/>
        <w:spacing w:before="0" w:lineRule="auto"/>
        <w:rPr/>
      </w:pPr>
      <w:bookmarkStart w:colFirst="0" w:colLast="0" w:name="_8yt61v1z9uqq" w:id="2"/>
      <w:bookmarkEnd w:id="2"/>
      <w:r w:rsidDel="00000000" w:rsidR="00000000" w:rsidRPr="00000000">
        <w:rPr>
          <w:rtl w:val="0"/>
        </w:rPr>
        <w:t xml:space="preserve">Timeframe: 3-4 days / 50-minute sessions</w:t>
      </w:r>
    </w:p>
    <w:p w:rsidR="00000000" w:rsidDel="00000000" w:rsidP="00000000" w:rsidRDefault="00000000" w:rsidRPr="00000000" w14:paraId="00000004">
      <w:pPr>
        <w:spacing w:after="0" w:lineRule="auto"/>
        <w:rPr>
          <w:color w:val="231f20"/>
        </w:rPr>
      </w:pPr>
      <w:r w:rsidDel="00000000" w:rsidR="00000000" w:rsidRPr="00000000">
        <w:rPr>
          <w:rtl w:val="0"/>
        </w:rPr>
      </w:r>
    </w:p>
    <w:tbl>
      <w:tblPr>
        <w:tblStyle w:val="Table1"/>
        <w:tblW w:w="10800.0" w:type="dxa"/>
        <w:jc w:val="left"/>
        <w:tblLayout w:type="fixed"/>
        <w:tblLook w:val="0600"/>
      </w:tblPr>
      <w:tblGrid>
        <w:gridCol w:w="5400"/>
        <w:gridCol w:w="5400"/>
        <w:tblGridChange w:id="0">
          <w:tblGrid>
            <w:gridCol w:w="5400"/>
            <w:gridCol w:w="540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after="0" w:before="0" w:line="240" w:lineRule="auto"/>
              <w:rPr/>
            </w:pPr>
            <w:bookmarkStart w:colFirst="0" w:colLast="0" w:name="_hzdgfmfg91im" w:id="3"/>
            <w:bookmarkEnd w:id="3"/>
            <w:r w:rsidDel="00000000" w:rsidR="00000000" w:rsidRPr="00000000">
              <w:rPr>
                <w:rtl w:val="0"/>
              </w:rPr>
              <w:t xml:space="preserve">Podcast and Video Alignment</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6">
            <w:pPr>
              <w:pStyle w:val="Heading4"/>
              <w:widowControl w:val="0"/>
              <w:spacing w:after="0" w:before="0" w:line="240" w:lineRule="auto"/>
              <w:rPr/>
            </w:pPr>
            <w:bookmarkStart w:colFirst="0" w:colLast="0" w:name="_49hf5239pzky" w:id="4"/>
            <w:bookmarkEnd w:id="4"/>
            <w:r w:rsidDel="00000000" w:rsidR="00000000" w:rsidRPr="00000000">
              <w:rPr>
                <w:i w:val="1"/>
                <w:rtl w:val="0"/>
              </w:rPr>
              <w:t xml:space="preserve">American Legacy</w:t>
            </w:r>
            <w:r w:rsidDel="00000000" w:rsidR="00000000" w:rsidRPr="00000000">
              <w:rPr>
                <w:rtl w:val="0"/>
              </w:rPr>
              <w:t xml:space="preserve"> Text &amp; Additional Texts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60-Second Civics Podcast:</w:t>
            </w:r>
          </w:p>
          <w:p w:rsidR="00000000" w:rsidDel="00000000" w:rsidP="00000000" w:rsidRDefault="00000000" w:rsidRPr="00000000" w14:paraId="0000000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7">
              <w:r w:rsidDel="00000000" w:rsidR="00000000" w:rsidRPr="00000000">
                <w:rPr>
                  <w:color w:val="004fa3"/>
                  <w:rtl w:val="0"/>
                </w:rPr>
                <w:t xml:space="preserve">Citizenship at the Founding</w:t>
              </w:r>
            </w:hyperlink>
            <w:r w:rsidDel="00000000" w:rsidR="00000000" w:rsidRPr="00000000">
              <w:rPr>
                <w:rtl w:val="0"/>
              </w:rPr>
            </w:r>
          </w:p>
          <w:p w:rsidR="00000000" w:rsidDel="00000000" w:rsidP="00000000" w:rsidRDefault="00000000" w:rsidRPr="00000000" w14:paraId="0000000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8">
              <w:r w:rsidDel="00000000" w:rsidR="00000000" w:rsidRPr="00000000">
                <w:rPr>
                  <w:color w:val="004fa3"/>
                  <w:rtl w:val="0"/>
                </w:rPr>
                <w:t xml:space="preserve">Citizenship Before the Civil War</w:t>
              </w:r>
            </w:hyperlink>
            <w:r w:rsidDel="00000000" w:rsidR="00000000" w:rsidRPr="00000000">
              <w:rPr>
                <w:rtl w:val="0"/>
              </w:rPr>
            </w:r>
          </w:p>
          <w:p w:rsidR="00000000" w:rsidDel="00000000" w:rsidP="00000000" w:rsidRDefault="00000000" w:rsidRPr="00000000" w14:paraId="0000000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9">
              <w:r w:rsidDel="00000000" w:rsidR="00000000" w:rsidRPr="00000000">
                <w:rPr>
                  <w:color w:val="004fa3"/>
                  <w:rtl w:val="0"/>
                </w:rPr>
                <w:t xml:space="preserve">The 14th Amendment</w:t>
                <w:br w:type="textWrapping"/>
                <w:t xml:space="preserve">Transforms Citizenship</w:t>
              </w:r>
            </w:hyperlink>
            <w:r w:rsidDel="00000000" w:rsidR="00000000" w:rsidRPr="00000000">
              <w:rPr>
                <w:rtl w:val="0"/>
              </w:rPr>
            </w:r>
          </w:p>
          <w:p w:rsidR="00000000" w:rsidDel="00000000" w:rsidP="00000000" w:rsidRDefault="00000000" w:rsidRPr="00000000" w14:paraId="0000000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0">
              <w:r w:rsidDel="00000000" w:rsidR="00000000" w:rsidRPr="00000000">
                <w:rPr>
                  <w:color w:val="004fa3"/>
                  <w:rtl w:val="0"/>
                </w:rPr>
                <w:t xml:space="preserve">Rights of Citizenship</w:t>
              </w:r>
            </w:hyperlink>
            <w:r w:rsidDel="00000000" w:rsidR="00000000" w:rsidRPr="00000000">
              <w:rPr>
                <w:rtl w:val="0"/>
              </w:rPr>
            </w:r>
          </w:p>
          <w:p w:rsidR="00000000" w:rsidDel="00000000" w:rsidP="00000000" w:rsidRDefault="00000000" w:rsidRPr="00000000" w14:paraId="0000000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1">
              <w:r w:rsidDel="00000000" w:rsidR="00000000" w:rsidRPr="00000000">
                <w:rPr>
                  <w:color w:val="004fa3"/>
                  <w:rtl w:val="0"/>
                </w:rPr>
                <w:t xml:space="preserve">Birthright Citizenship</w:t>
              </w:r>
            </w:hyperlink>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Beyond the Legacy Video:</w:t>
            </w:r>
          </w:p>
          <w:p w:rsidR="00000000" w:rsidDel="00000000" w:rsidP="00000000" w:rsidRDefault="00000000" w:rsidRPr="00000000" w14:paraId="0000000F">
            <w:pPr>
              <w:widowControl w:val="0"/>
              <w:numPr>
                <w:ilvl w:val="0"/>
                <w:numId w:val="2"/>
              </w:numPr>
              <w:ind w:left="720" w:hanging="360"/>
            </w:pPr>
            <w:hyperlink r:id="rId12">
              <w:r w:rsidDel="00000000" w:rsidR="00000000" w:rsidRPr="00000000">
                <w:rPr>
                  <w:color w:val="004fa3"/>
                  <w:rtl w:val="0"/>
                </w:rPr>
                <w:t xml:space="preserve">Citizenship in America</w:t>
              </w:r>
            </w:hyperlink>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Scholar:</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rtl w:val="0"/>
              </w:rPr>
              <w:t xml:space="preserve">Professor Henry L. Chambers, Jr.</w:t>
              <w:br w:type="textWrapping"/>
              <w:t xml:space="preserve">University of Richmond School of Law</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Primary Sources:</w:t>
            </w:r>
          </w:p>
          <w:p w:rsidR="00000000" w:rsidDel="00000000" w:rsidP="00000000" w:rsidRDefault="00000000" w:rsidRPr="00000000" w14:paraId="00000014">
            <w:pPr>
              <w:widowControl w:val="0"/>
              <w:numPr>
                <w:ilvl w:val="0"/>
                <w:numId w:val="4"/>
              </w:numPr>
              <w:ind w:left="720" w:hanging="360"/>
            </w:pPr>
            <w:hyperlink r:id="rId13">
              <w:r w:rsidDel="00000000" w:rsidR="00000000" w:rsidRPr="00000000">
                <w:rPr>
                  <w:color w:val="004fa3"/>
                  <w:rtl w:val="0"/>
                </w:rPr>
                <w:t xml:space="preserve">The Chinese Exclusion Act (1882)</w:t>
              </w:r>
            </w:hyperlink>
            <w:r w:rsidDel="00000000" w:rsidR="00000000" w:rsidRPr="00000000">
              <w:rPr>
                <w:rtl w:val="0"/>
              </w:rPr>
            </w:r>
          </w:p>
          <w:p w:rsidR="00000000" w:rsidDel="00000000" w:rsidP="00000000" w:rsidRDefault="00000000" w:rsidRPr="00000000" w14:paraId="00000015">
            <w:pPr>
              <w:widowControl w:val="0"/>
              <w:numPr>
                <w:ilvl w:val="0"/>
                <w:numId w:val="4"/>
              </w:numPr>
              <w:ind w:left="720" w:hanging="360"/>
            </w:pPr>
            <w:hyperlink r:id="rId14">
              <w:r w:rsidDel="00000000" w:rsidR="00000000" w:rsidRPr="00000000">
                <w:rPr>
                  <w:color w:val="004fa3"/>
                  <w:rtl w:val="0"/>
                </w:rPr>
                <w:t xml:space="preserve">“The New Colossus,” by Emma Lazarus</w:t>
              </w:r>
            </w:hyperlink>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b w:val="1"/>
                <w:color w:val="231f20"/>
                <w:rtl w:val="0"/>
              </w:rPr>
              <w:t xml:space="preserve">Instructional Materials:</w:t>
            </w:r>
            <w:r w:rsidDel="00000000" w:rsidR="00000000" w:rsidRPr="00000000">
              <w:rPr>
                <w:rtl w:val="0"/>
              </w:rPr>
            </w:r>
          </w:p>
          <w:p w:rsidR="00000000" w:rsidDel="00000000" w:rsidP="00000000" w:rsidRDefault="00000000" w:rsidRPr="00000000" w14:paraId="0000001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5">
              <w:r w:rsidDel="00000000" w:rsidR="00000000" w:rsidRPr="00000000">
                <w:rPr>
                  <w:color w:val="004fa3"/>
                  <w:rtl w:val="0"/>
                </w:rPr>
                <w:t xml:space="preserve">Beyond the Legacy</w:t>
                <w:br w:type="textWrapping"/>
                <w:t xml:space="preserve">Video Guide: Citizenship</w:t>
              </w:r>
            </w:hyperlink>
            <w:r w:rsidDel="00000000" w:rsidR="00000000" w:rsidRPr="00000000">
              <w:rPr>
                <w:rtl w:val="0"/>
              </w:rPr>
            </w:r>
          </w:p>
          <w:p w:rsidR="00000000" w:rsidDel="00000000" w:rsidP="00000000" w:rsidRDefault="00000000" w:rsidRPr="00000000" w14:paraId="0000001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6">
              <w:r w:rsidDel="00000000" w:rsidR="00000000" w:rsidRPr="00000000">
                <w:rPr>
                  <w:color w:val="004fa3"/>
                  <w:rtl w:val="0"/>
                </w:rPr>
                <w:t xml:space="preserve">Paideia Seminar Plan –</w:t>
                <w:br w:type="textWrapping"/>
                <w:t xml:space="preserve">The Chinese Exclusion Act</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7">
              <w:r w:rsidDel="00000000" w:rsidR="00000000" w:rsidRPr="00000000">
                <w:rPr>
                  <w:color w:val="004fa3"/>
                  <w:rtl w:val="0"/>
                </w:rPr>
                <w:t xml:space="preserve">Structured Academic</w:t>
                <w:br w:type="textWrapping"/>
                <w:t xml:space="preserve">Controversy Plan – Citizenship</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8">
              <w:r w:rsidDel="00000000" w:rsidR="00000000" w:rsidRPr="00000000">
                <w:rPr>
                  <w:color w:val="004fa3"/>
                  <w:rtl w:val="0"/>
                </w:rPr>
                <w:t xml:space="preserve">SAC Note-Taking Graphic Organizer</w:t>
              </w:r>
            </w:hyperlink>
            <w:r w:rsidDel="00000000" w:rsidR="00000000" w:rsidRPr="00000000">
              <w:rPr>
                <w:rtl w:val="0"/>
              </w:rPr>
            </w:r>
          </w:p>
        </w:tc>
      </w:tr>
    </w:tbl>
    <w:p w:rsidR="00000000" w:rsidDel="00000000" w:rsidP="00000000" w:rsidRDefault="00000000" w:rsidRPr="00000000" w14:paraId="0000001C">
      <w:pPr>
        <w:spacing w:after="0" w:lineRule="auto"/>
        <w:rPr>
          <w:color w:val="231f20"/>
        </w:rPr>
      </w:pPr>
      <w:r w:rsidDel="00000000" w:rsidR="00000000" w:rsidRPr="00000000">
        <w:rPr>
          <w:rtl w:val="0"/>
        </w:rPr>
      </w:r>
    </w:p>
    <w:tbl>
      <w:tblPr>
        <w:tblStyle w:val="Table2"/>
        <w:tblW w:w="10800.0" w:type="dxa"/>
        <w:jc w:val="left"/>
        <w:tblLayout w:type="fixed"/>
        <w:tblLook w:val="0600"/>
      </w:tblPr>
      <w:tblGrid>
        <w:gridCol w:w="2880"/>
        <w:gridCol w:w="360"/>
        <w:gridCol w:w="7560"/>
        <w:tblGridChange w:id="0">
          <w:tblGrid>
            <w:gridCol w:w="2880"/>
            <w:gridCol w:w="360"/>
            <w:gridCol w:w="756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1D">
            <w:pPr>
              <w:pStyle w:val="Heading4"/>
              <w:widowControl w:val="0"/>
              <w:spacing w:before="0" w:line="240" w:lineRule="auto"/>
              <w:rPr/>
            </w:pPr>
            <w:bookmarkStart w:colFirst="0" w:colLast="0" w:name="_anyvo2f8rhh6" w:id="5"/>
            <w:bookmarkEnd w:id="5"/>
            <w:r w:rsidDel="00000000" w:rsidR="00000000" w:rsidRPr="00000000">
              <w:rPr>
                <w:rtl w:val="0"/>
              </w:rPr>
              <w:t xml:space="preserve">Inquiry Question</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1E">
            <w:pPr>
              <w:pStyle w:val="Heading4"/>
              <w:widowControl w:val="0"/>
              <w:spacing w:before="0" w:line="240" w:lineRule="auto"/>
              <w:rPr/>
            </w:pPr>
            <w:bookmarkStart w:colFirst="0" w:colLast="0" w:name="_anyvo2f8rhh6" w:id="5"/>
            <w:bookmarkEnd w:id="5"/>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1F">
            <w:pPr>
              <w:pStyle w:val="Heading4"/>
              <w:widowControl w:val="0"/>
              <w:spacing w:before="0" w:line="240" w:lineRule="auto"/>
              <w:rPr/>
            </w:pPr>
            <w:bookmarkStart w:colFirst="0" w:colLast="0" w:name="_ghlephs2aa2c" w:id="6"/>
            <w:bookmarkEnd w:id="6"/>
            <w:r w:rsidDel="00000000" w:rsidR="00000000" w:rsidRPr="00000000">
              <w:rPr>
                <w:rtl w:val="0"/>
              </w:rPr>
              <w:t xml:space="preserve">Objective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300" w:lineRule="auto"/>
              <w:rPr>
                <w:color w:val="231f20"/>
              </w:rPr>
            </w:pPr>
            <w:r w:rsidDel="00000000" w:rsidR="00000000" w:rsidRPr="00000000">
              <w:rPr>
                <w:rtl w:val="0"/>
              </w:rPr>
              <w:t xml:space="preserve">What does it mean to be an American citizen?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30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rPr/>
            </w:pPr>
            <w:r w:rsidDel="00000000" w:rsidR="00000000" w:rsidRPr="00000000">
              <w:rPr>
                <w:rtl w:val="0"/>
              </w:rPr>
              <w:t xml:space="preserve">Participants will learn about the constitutional underpinnings of citizenship in America by viewing and discussing videos, podcasts, and other media, as well as closely reading The Chinese Exclusion Act, to engage in a civil discourse model to expand their perspectives on the value, purpose, and impact of citizenship today.</w:t>
            </w:r>
          </w:p>
        </w:tc>
      </w:tr>
    </w:tbl>
    <w:p w:rsidR="00000000" w:rsidDel="00000000" w:rsidP="00000000" w:rsidRDefault="00000000" w:rsidRPr="00000000" w14:paraId="00000023">
      <w:pPr>
        <w:rPr/>
      </w:pPr>
      <w:r w:rsidDel="00000000" w:rsidR="00000000" w:rsidRPr="00000000">
        <w:br w:type="page"/>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tbl>
      <w:tblPr>
        <w:tblStyle w:val="Table3"/>
        <w:tblW w:w="10800.0" w:type="dxa"/>
        <w:jc w:val="left"/>
        <w:tblLayout w:type="fixed"/>
        <w:tblLook w:val="0600"/>
      </w:tblPr>
      <w:tblGrid>
        <w:gridCol w:w="3600"/>
        <w:gridCol w:w="3600"/>
        <w:gridCol w:w="3600"/>
        <w:tblGridChange w:id="0">
          <w:tblGrid>
            <w:gridCol w:w="3600"/>
            <w:gridCol w:w="3600"/>
            <w:gridCol w:w="36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25">
            <w:pPr>
              <w:pStyle w:val="Heading4"/>
              <w:widowControl w:val="0"/>
              <w:spacing w:before="0" w:line="240" w:lineRule="auto"/>
              <w:rPr/>
            </w:pPr>
            <w:bookmarkStart w:colFirst="0" w:colLast="0" w:name="_lm3uges1rw15" w:id="7"/>
            <w:bookmarkEnd w:id="7"/>
            <w:r w:rsidDel="00000000" w:rsidR="00000000" w:rsidRPr="00000000">
              <w:rPr>
                <w:rtl w:val="0"/>
              </w:rPr>
              <w:t xml:space="preserve">Vocabulary</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26">
            <w:pPr>
              <w:pStyle w:val="Heading4"/>
              <w:widowControl w:val="0"/>
              <w:spacing w:before="0" w:line="240" w:lineRule="auto"/>
              <w:rPr/>
            </w:pPr>
            <w:bookmarkStart w:colFirst="0" w:colLast="0" w:name="_lm3uges1rw15" w:id="7"/>
            <w:bookmarkEnd w:id="7"/>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27">
            <w:pPr>
              <w:pStyle w:val="Heading4"/>
              <w:widowControl w:val="0"/>
              <w:spacing w:before="0" w:line="240" w:lineRule="auto"/>
              <w:rPr/>
            </w:pPr>
            <w:bookmarkStart w:colFirst="0" w:colLast="0" w:name="_lm3uges1rw15" w:id="7"/>
            <w:bookmarkEnd w:id="7"/>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numPr>
                <w:ilvl w:val="0"/>
                <w:numId w:val="1"/>
              </w:numPr>
              <w:ind w:left="720" w:hanging="360"/>
            </w:pPr>
            <w:hyperlink r:id="rId19">
              <w:r w:rsidDel="00000000" w:rsidR="00000000" w:rsidRPr="00000000">
                <w:rPr>
                  <w:color w:val="004fa3"/>
                  <w:rtl w:val="0"/>
                </w:rPr>
                <w:t xml:space="preserve">astride</w:t>
              </w:r>
            </w:hyperlink>
            <w:r w:rsidDel="00000000" w:rsidR="00000000" w:rsidRPr="00000000">
              <w:rPr>
                <w:rtl w:val="0"/>
              </w:rPr>
            </w:r>
          </w:p>
          <w:p w:rsidR="00000000" w:rsidDel="00000000" w:rsidP="00000000" w:rsidRDefault="00000000" w:rsidRPr="00000000" w14:paraId="00000029">
            <w:pPr>
              <w:widowControl w:val="0"/>
              <w:numPr>
                <w:ilvl w:val="0"/>
                <w:numId w:val="1"/>
              </w:numPr>
              <w:ind w:left="720" w:hanging="360"/>
            </w:pPr>
            <w:hyperlink r:id="rId20">
              <w:r w:rsidDel="00000000" w:rsidR="00000000" w:rsidRPr="00000000">
                <w:rPr>
                  <w:color w:val="004fa3"/>
                  <w:rtl w:val="0"/>
                </w:rPr>
                <w:t xml:space="preserve">brazen</w:t>
              </w:r>
            </w:hyperlink>
            <w:r w:rsidDel="00000000" w:rsidR="00000000" w:rsidRPr="00000000">
              <w:rPr>
                <w:rtl w:val="0"/>
              </w:rPr>
            </w:r>
          </w:p>
          <w:p w:rsidR="00000000" w:rsidDel="00000000" w:rsidP="00000000" w:rsidRDefault="00000000" w:rsidRPr="00000000" w14:paraId="0000002A">
            <w:pPr>
              <w:widowControl w:val="0"/>
              <w:numPr>
                <w:ilvl w:val="0"/>
                <w:numId w:val="1"/>
              </w:numPr>
              <w:ind w:left="720" w:hanging="360"/>
            </w:pPr>
            <w:hyperlink r:id="rId21">
              <w:r w:rsidDel="00000000" w:rsidR="00000000" w:rsidRPr="00000000">
                <w:rPr>
                  <w:color w:val="004fa3"/>
                  <w:rtl w:val="0"/>
                </w:rPr>
                <w:t xml:space="preserve">exile</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numPr>
                <w:ilvl w:val="0"/>
                <w:numId w:val="1"/>
              </w:numPr>
              <w:ind w:left="720" w:hanging="360"/>
            </w:pPr>
            <w:hyperlink r:id="rId22">
              <w:r w:rsidDel="00000000" w:rsidR="00000000" w:rsidRPr="00000000">
                <w:rPr>
                  <w:color w:val="004fa3"/>
                  <w:rtl w:val="0"/>
                </w:rPr>
                <w:t xml:space="preserve">pomp</w:t>
              </w:r>
            </w:hyperlink>
            <w:r w:rsidDel="00000000" w:rsidR="00000000" w:rsidRPr="00000000">
              <w:rPr>
                <w:rtl w:val="0"/>
              </w:rPr>
            </w:r>
          </w:p>
          <w:p w:rsidR="00000000" w:rsidDel="00000000" w:rsidP="00000000" w:rsidRDefault="00000000" w:rsidRPr="00000000" w14:paraId="0000002C">
            <w:pPr>
              <w:widowControl w:val="0"/>
              <w:numPr>
                <w:ilvl w:val="0"/>
                <w:numId w:val="1"/>
              </w:numPr>
              <w:ind w:left="720" w:hanging="360"/>
            </w:pPr>
            <w:hyperlink r:id="rId23">
              <w:r w:rsidDel="00000000" w:rsidR="00000000" w:rsidRPr="00000000">
                <w:rPr>
                  <w:color w:val="004fa3"/>
                  <w:rtl w:val="0"/>
                </w:rPr>
                <w:t xml:space="preserve">refuse</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numPr>
                <w:ilvl w:val="0"/>
                <w:numId w:val="1"/>
              </w:numPr>
              <w:ind w:left="720" w:hanging="360"/>
            </w:pPr>
            <w:hyperlink r:id="rId24">
              <w:r w:rsidDel="00000000" w:rsidR="00000000" w:rsidRPr="00000000">
                <w:rPr>
                  <w:color w:val="004fa3"/>
                  <w:rtl w:val="0"/>
                </w:rPr>
                <w:t xml:space="preserve">teeming</w:t>
              </w:r>
            </w:hyperlink>
            <w:r w:rsidDel="00000000" w:rsidR="00000000" w:rsidRPr="00000000">
              <w:rPr>
                <w:rtl w:val="0"/>
              </w:rPr>
            </w:r>
          </w:p>
          <w:p w:rsidR="00000000" w:rsidDel="00000000" w:rsidP="00000000" w:rsidRDefault="00000000" w:rsidRPr="00000000" w14:paraId="0000002E">
            <w:pPr>
              <w:widowControl w:val="0"/>
              <w:numPr>
                <w:ilvl w:val="0"/>
                <w:numId w:val="1"/>
              </w:numPr>
              <w:ind w:left="720" w:hanging="360"/>
            </w:pPr>
            <w:hyperlink r:id="rId25">
              <w:r w:rsidDel="00000000" w:rsidR="00000000" w:rsidRPr="00000000">
                <w:rPr>
                  <w:color w:val="004fa3"/>
                  <w:rtl w:val="0"/>
                </w:rPr>
                <w:t xml:space="preserve">tempest</w:t>
              </w:r>
            </w:hyperlink>
            <w:r w:rsidDel="00000000" w:rsidR="00000000" w:rsidRPr="00000000">
              <w:rPr>
                <w:rtl w:val="0"/>
              </w:rPr>
            </w:r>
          </w:p>
        </w:tc>
      </w:tr>
    </w:tbl>
    <w:p w:rsidR="00000000" w:rsidDel="00000000" w:rsidP="00000000" w:rsidRDefault="00000000" w:rsidRPr="00000000" w14:paraId="0000002F">
      <w:pPr>
        <w:spacing w:after="0" w:lineRule="auto"/>
        <w:rPr>
          <w:color w:val="231f20"/>
        </w:rPr>
      </w:pPr>
      <w:r w:rsidDel="00000000" w:rsidR="00000000" w:rsidRPr="00000000">
        <w:rPr>
          <w:rtl w:val="0"/>
        </w:rPr>
      </w:r>
    </w:p>
    <w:tbl>
      <w:tblPr>
        <w:tblStyle w:val="Table4"/>
        <w:tblW w:w="10800.0" w:type="dxa"/>
        <w:jc w:val="left"/>
        <w:tblLayout w:type="fixed"/>
        <w:tblLook w:val="0600"/>
      </w:tblPr>
      <w:tblGrid>
        <w:gridCol w:w="10800"/>
        <w:tblGridChange w:id="0">
          <w:tblGrid>
            <w:gridCol w:w="1080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30">
            <w:pPr>
              <w:pStyle w:val="Heading4"/>
              <w:widowControl w:val="0"/>
              <w:spacing w:before="0" w:line="240" w:lineRule="auto"/>
              <w:rPr/>
            </w:pPr>
            <w:bookmarkStart w:colFirst="0" w:colLast="0" w:name="_iy860yx5xzlp" w:id="8"/>
            <w:bookmarkEnd w:id="8"/>
            <w:r w:rsidDel="00000000" w:rsidR="00000000" w:rsidRPr="00000000">
              <w:rPr>
                <w:rtl w:val="0"/>
              </w:rPr>
              <w:t xml:space="preserve">Facilitator Background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after="0" w:line="300" w:lineRule="auto"/>
              <w:rPr>
                <w:b w:val="1"/>
              </w:rPr>
            </w:pPr>
            <w:r w:rsidDel="00000000" w:rsidR="00000000" w:rsidRPr="00000000">
              <w:rPr>
                <w:b w:val="1"/>
                <w:rtl w:val="0"/>
              </w:rPr>
              <w:t xml:space="preserve">The Chinese Exclusion Act</w:t>
            </w:r>
          </w:p>
          <w:p w:rsidR="00000000" w:rsidDel="00000000" w:rsidP="00000000" w:rsidRDefault="00000000" w:rsidRPr="00000000" w14:paraId="00000032">
            <w:pPr>
              <w:widowControl w:val="0"/>
              <w:spacing w:after="0" w:line="300" w:lineRule="auto"/>
              <w:rPr/>
            </w:pPr>
            <w:r w:rsidDel="00000000" w:rsidR="00000000" w:rsidRPr="00000000">
              <w:rPr>
                <w:rtl w:val="0"/>
              </w:rPr>
              <w:t xml:space="preserve">The Chinese Exclusion Act was a significant piece of U.S. legislation passed in 1882, marking the first time a specific ethnic or national group was explicitly prohibited from immigrating to the United States. The law was aimed at Chinese laborers arriving in large numbers, particularly during and after the California Gold Rush and the construction of the Transcontinental Railroad. The act effectively halted Chinese immigration for ten years and declared Chinese immigrants ineligible for naturalization as U.S. citizens.</w:t>
            </w:r>
          </w:p>
          <w:p w:rsidR="00000000" w:rsidDel="00000000" w:rsidP="00000000" w:rsidRDefault="00000000" w:rsidRPr="00000000" w14:paraId="00000033">
            <w:pPr>
              <w:widowControl w:val="0"/>
              <w:spacing w:after="0" w:line="300" w:lineRule="auto"/>
              <w:rPr/>
            </w:pPr>
            <w:r w:rsidDel="00000000" w:rsidR="00000000" w:rsidRPr="00000000">
              <w:rPr>
                <w:rtl w:val="0"/>
              </w:rPr>
            </w:r>
          </w:p>
          <w:p w:rsidR="00000000" w:rsidDel="00000000" w:rsidP="00000000" w:rsidRDefault="00000000" w:rsidRPr="00000000" w14:paraId="00000034">
            <w:pPr>
              <w:widowControl w:val="0"/>
              <w:spacing w:after="0" w:line="300" w:lineRule="auto"/>
              <w:rPr/>
            </w:pPr>
            <w:r w:rsidDel="00000000" w:rsidR="00000000" w:rsidRPr="00000000">
              <w:rPr>
                <w:rtl w:val="0"/>
              </w:rPr>
              <w:t xml:space="preserve">This law came about in response to economic fears and racial prejudices prevalent during the period. Many Americans on the West Coast felt that Chinese immigrants were taking jobs away from them by accepting lower wages, contributing to economic instability and tension. Moreover, there was a widespread racial bias, with stereotypes and misinformation about Chinese culture and people adding to the animosity and leading to discriminatory practices and policies.</w:t>
            </w:r>
          </w:p>
          <w:p w:rsidR="00000000" w:rsidDel="00000000" w:rsidP="00000000" w:rsidRDefault="00000000" w:rsidRPr="00000000" w14:paraId="00000035">
            <w:pPr>
              <w:widowControl w:val="0"/>
              <w:spacing w:after="0" w:line="300" w:lineRule="auto"/>
              <w:rPr/>
            </w:pPr>
            <w:r w:rsidDel="00000000" w:rsidR="00000000" w:rsidRPr="00000000">
              <w:rPr>
                <w:rtl w:val="0"/>
              </w:rPr>
            </w:r>
          </w:p>
          <w:p w:rsidR="00000000" w:rsidDel="00000000" w:rsidP="00000000" w:rsidRDefault="00000000" w:rsidRPr="00000000" w14:paraId="00000036">
            <w:pPr>
              <w:widowControl w:val="0"/>
              <w:spacing w:after="0" w:line="300" w:lineRule="auto"/>
              <w:rPr/>
            </w:pPr>
            <w:r w:rsidDel="00000000" w:rsidR="00000000" w:rsidRPr="00000000">
              <w:rPr>
                <w:rtl w:val="0"/>
              </w:rPr>
              <w:t xml:space="preserve">The Chinese Exclusion Act was initially slated to last for a decade, but it was subsequently renewed and made more restrictive with the Geary Act in 1892, and it was later made permanent. These laws made it incredibly challenging for Chinese immigrants already in the U.S. to bring over family members and nearly impossible for new immigrants to arrive. The laws also significantly increased anti-Chinese sentiment and set a precedent for further restrictive and discriminatory immigration policies.</w:t>
            </w:r>
          </w:p>
          <w:p w:rsidR="00000000" w:rsidDel="00000000" w:rsidP="00000000" w:rsidRDefault="00000000" w:rsidRPr="00000000" w14:paraId="00000037">
            <w:pPr>
              <w:widowControl w:val="0"/>
              <w:spacing w:after="0" w:line="300" w:lineRule="auto"/>
              <w:rPr/>
            </w:pPr>
            <w:r w:rsidDel="00000000" w:rsidR="00000000" w:rsidRPr="00000000">
              <w:rPr>
                <w:rtl w:val="0"/>
              </w:rPr>
            </w:r>
          </w:p>
          <w:p w:rsidR="00000000" w:rsidDel="00000000" w:rsidP="00000000" w:rsidRDefault="00000000" w:rsidRPr="00000000" w14:paraId="00000038">
            <w:pPr>
              <w:widowControl w:val="0"/>
              <w:spacing w:after="0" w:line="300" w:lineRule="auto"/>
              <w:rPr/>
            </w:pPr>
            <w:r w:rsidDel="00000000" w:rsidR="00000000" w:rsidRPr="00000000">
              <w:rPr>
                <w:rtl w:val="0"/>
              </w:rPr>
              <w:t xml:space="preserve">The Act was finally repealed in 1943 with the Magnuson Act when China became an important ally to the U.S. during World War II. However, the full and more equal loosening of immigration restrictions didn't occur until the Immigration and Nationality Act of 1965. The legacy of the Chinese Exclusion Act serves as a reminder of a regrettable period of legally sanctioned racial discrimination in the U.S. It continues to influence conversations about immigration and race relations today.</w:t>
            </w:r>
            <w:r w:rsidDel="00000000" w:rsidR="00000000" w:rsidRPr="00000000">
              <w:rPr>
                <w:rtl w:val="0"/>
              </w:rPr>
            </w:r>
          </w:p>
          <w:p w:rsidR="00000000" w:rsidDel="00000000" w:rsidP="00000000" w:rsidRDefault="00000000" w:rsidRPr="00000000" w14:paraId="00000039">
            <w:pPr>
              <w:widowControl w:val="0"/>
              <w:spacing w:after="0" w:line="300" w:lineRule="auto"/>
              <w:rPr/>
            </w:pPr>
            <w:r w:rsidDel="00000000" w:rsidR="00000000" w:rsidRPr="00000000">
              <w:rPr>
                <w:rtl w:val="0"/>
              </w:rPr>
            </w:r>
          </w:p>
          <w:p w:rsidR="00000000" w:rsidDel="00000000" w:rsidP="00000000" w:rsidRDefault="00000000" w:rsidRPr="00000000" w14:paraId="0000003A">
            <w:pPr>
              <w:widowControl w:val="0"/>
              <w:spacing w:after="0" w:line="300" w:lineRule="auto"/>
              <w:rPr>
                <w:b w:val="1"/>
              </w:rPr>
            </w:pPr>
            <w:r w:rsidDel="00000000" w:rsidR="00000000" w:rsidRPr="00000000">
              <w:rPr>
                <w:b w:val="1"/>
                <w:rtl w:val="0"/>
              </w:rPr>
              <w:t xml:space="preserve">The New Colossus</w:t>
            </w:r>
          </w:p>
          <w:p w:rsidR="00000000" w:rsidDel="00000000" w:rsidP="00000000" w:rsidRDefault="00000000" w:rsidRPr="00000000" w14:paraId="0000003B">
            <w:pPr>
              <w:widowControl w:val="0"/>
              <w:spacing w:after="0" w:line="300" w:lineRule="auto"/>
              <w:rPr/>
            </w:pPr>
            <w:r w:rsidDel="00000000" w:rsidR="00000000" w:rsidRPr="00000000">
              <w:rPr>
                <w:rtl w:val="0"/>
              </w:rPr>
              <w:t xml:space="preserve">"The New Colossus" is a sonnet by the American poet Emma Lazarus (1849-1887). It was written in 1883 and is known for its association with the Statue of Liberty. The sonnet was written as part of a fundraising effort for the construction of the pedestal of the Statue of Liberty. The statue was a gift from France to the United States, but funds were needed to build the pedestal upon which the statue would stand. An auction of art and literary works was organized as part of these fundraising efforts.</w:t>
            </w:r>
          </w:p>
          <w:p w:rsidR="00000000" w:rsidDel="00000000" w:rsidP="00000000" w:rsidRDefault="00000000" w:rsidRPr="00000000" w14:paraId="0000003C">
            <w:pPr>
              <w:widowControl w:val="0"/>
              <w:spacing w:after="0" w:line="300" w:lineRule="auto"/>
              <w:rPr/>
            </w:pPr>
            <w:r w:rsidDel="00000000" w:rsidR="00000000" w:rsidRPr="00000000">
              <w:rPr>
                <w:rtl w:val="0"/>
              </w:rPr>
            </w:r>
          </w:p>
          <w:p w:rsidR="00000000" w:rsidDel="00000000" w:rsidP="00000000" w:rsidRDefault="00000000" w:rsidRPr="00000000" w14:paraId="0000003D">
            <w:pPr>
              <w:widowControl w:val="0"/>
              <w:spacing w:after="0" w:line="300" w:lineRule="auto"/>
              <w:rPr/>
            </w:pPr>
            <w:r w:rsidDel="00000000" w:rsidR="00000000" w:rsidRPr="00000000">
              <w:rPr>
                <w:rtl w:val="0"/>
              </w:rPr>
              <w:t xml:space="preserve">Lazarus was asked to contribute an original work to the auction. Initially, she declined because she did not have a direct connection to the statue or the cause. However, after a conversation with the fundraiser Constance Cary Harrison, she became inspired to write a poem that showed the Statue of Liberty welcoming all immigrants to America. The resulting sonnet, "The New Colossus," was added to the auction, although it did not receive much attention at the time. Lazarus died just a few years later, in 1887, and her poem was largely forgotten.</w:t>
            </w:r>
          </w:p>
          <w:p w:rsidR="00000000" w:rsidDel="00000000" w:rsidP="00000000" w:rsidRDefault="00000000" w:rsidRPr="00000000" w14:paraId="0000003E">
            <w:pPr>
              <w:widowControl w:val="0"/>
              <w:spacing w:after="0" w:line="300" w:lineRule="auto"/>
              <w:rPr/>
            </w:pPr>
            <w:r w:rsidDel="00000000" w:rsidR="00000000" w:rsidRPr="00000000">
              <w:rPr>
                <w:rtl w:val="0"/>
              </w:rPr>
            </w:r>
          </w:p>
          <w:p w:rsidR="00000000" w:rsidDel="00000000" w:rsidP="00000000" w:rsidRDefault="00000000" w:rsidRPr="00000000" w14:paraId="0000003F">
            <w:pPr>
              <w:widowControl w:val="0"/>
              <w:spacing w:after="0" w:line="300" w:lineRule="auto"/>
              <w:rPr/>
            </w:pPr>
            <w:r w:rsidDel="00000000" w:rsidR="00000000" w:rsidRPr="00000000">
              <w:rPr>
                <w:rtl w:val="0"/>
              </w:rPr>
              <w:t xml:space="preserve">In 1903, sixteen years after Lazarus's death, her friend Georgina Schuyler happened upon a book containing the sonnet. Schuyler began a campaign to have the poem commemorated at the Statue of Liberty. Consequently, a bronze plaque bearing the text of the poem was mounted on the statue's pedestal.</w:t>
            </w:r>
          </w:p>
          <w:p w:rsidR="00000000" w:rsidDel="00000000" w:rsidP="00000000" w:rsidRDefault="00000000" w:rsidRPr="00000000" w14:paraId="00000040">
            <w:pPr>
              <w:widowControl w:val="0"/>
              <w:spacing w:after="0" w:line="300" w:lineRule="auto"/>
              <w:rPr/>
            </w:pPr>
            <w:r w:rsidDel="00000000" w:rsidR="00000000" w:rsidRPr="00000000">
              <w:rPr>
                <w:rtl w:val="0"/>
              </w:rPr>
            </w:r>
          </w:p>
          <w:p w:rsidR="00000000" w:rsidDel="00000000" w:rsidP="00000000" w:rsidRDefault="00000000" w:rsidRPr="00000000" w14:paraId="00000041">
            <w:pPr>
              <w:widowControl w:val="0"/>
              <w:spacing w:after="0" w:line="300" w:lineRule="auto"/>
              <w:rPr/>
            </w:pPr>
            <w:r w:rsidDel="00000000" w:rsidR="00000000" w:rsidRPr="00000000">
              <w:rPr>
                <w:b w:val="1"/>
                <w:rtl w:val="0"/>
              </w:rPr>
              <w:t xml:space="preserve">Additional Resources</w:t>
            </w:r>
            <w:r w:rsidDel="00000000" w:rsidR="00000000" w:rsidRPr="00000000">
              <w:rPr>
                <w:rtl w:val="0"/>
              </w:rPr>
              <w:t xml:space="preserve">:</w:t>
            </w:r>
          </w:p>
          <w:p w:rsidR="00000000" w:rsidDel="00000000" w:rsidP="00000000" w:rsidRDefault="00000000" w:rsidRPr="00000000" w14:paraId="00000042">
            <w:pPr>
              <w:widowControl w:val="0"/>
              <w:numPr>
                <w:ilvl w:val="0"/>
                <w:numId w:val="6"/>
              </w:numPr>
              <w:ind w:left="720" w:hanging="360"/>
              <w:rPr>
                <w:color w:val="000000"/>
              </w:rPr>
            </w:pPr>
            <w:hyperlink r:id="rId26">
              <w:r w:rsidDel="00000000" w:rsidR="00000000" w:rsidRPr="00000000">
                <w:rPr>
                  <w:color w:val="004fa3"/>
                  <w:rtl w:val="0"/>
                </w:rPr>
                <w:t xml:space="preserve">The Chinese Exclusion Act (1882)</w:t>
              </w:r>
            </w:hyperlink>
            <w:r w:rsidDel="00000000" w:rsidR="00000000" w:rsidRPr="00000000">
              <w:rPr>
                <w:rtl w:val="0"/>
              </w:rPr>
            </w:r>
          </w:p>
          <w:p w:rsidR="00000000" w:rsidDel="00000000" w:rsidP="00000000" w:rsidRDefault="00000000" w:rsidRPr="00000000" w14:paraId="00000043">
            <w:pPr>
              <w:widowControl w:val="0"/>
              <w:numPr>
                <w:ilvl w:val="0"/>
                <w:numId w:val="6"/>
              </w:numPr>
              <w:ind w:left="720" w:hanging="360"/>
              <w:rPr>
                <w:color w:val="000000"/>
              </w:rPr>
            </w:pPr>
            <w:hyperlink r:id="rId27">
              <w:r w:rsidDel="00000000" w:rsidR="00000000" w:rsidRPr="00000000">
                <w:rPr>
                  <w:color w:val="004fa3"/>
                  <w:rtl w:val="0"/>
                </w:rPr>
                <w:t xml:space="preserve">“The New Colossus,” by Emma Lazarus</w:t>
              </w:r>
            </w:hyperlink>
            <w:r w:rsidDel="00000000" w:rsidR="00000000" w:rsidRPr="00000000">
              <w:rPr>
                <w:rtl w:val="0"/>
              </w:rPr>
            </w:r>
          </w:p>
        </w:tc>
      </w:tr>
    </w:tbl>
    <w:p w:rsidR="00000000" w:rsidDel="00000000" w:rsidP="00000000" w:rsidRDefault="00000000" w:rsidRPr="00000000" w14:paraId="00000044">
      <w:pPr>
        <w:spacing w:after="0" w:lineRule="auto"/>
        <w:rPr>
          <w:color w:val="231f20"/>
        </w:rPr>
      </w:pPr>
      <w:r w:rsidDel="00000000" w:rsidR="00000000" w:rsidRPr="00000000">
        <w:rPr>
          <w:rtl w:val="0"/>
        </w:rPr>
      </w:r>
    </w:p>
    <w:tbl>
      <w:tblPr>
        <w:tblStyle w:val="Table5"/>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45">
            <w:pPr>
              <w:pStyle w:val="Heading4"/>
              <w:widowControl w:val="0"/>
              <w:spacing w:before="0" w:line="240" w:lineRule="auto"/>
              <w:rPr/>
            </w:pPr>
            <w:bookmarkStart w:colFirst="0" w:colLast="0" w:name="_i5w4eoqymj67" w:id="9"/>
            <w:bookmarkEnd w:id="9"/>
            <w:r w:rsidDel="00000000" w:rsidR="00000000" w:rsidRPr="00000000">
              <w:rPr>
                <w:rtl w:val="0"/>
              </w:rPr>
              <w:t xml:space="preserve">Assess &amp; Authentically Engage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after="0" w:line="300" w:lineRule="auto"/>
              <w:rPr>
                <w:color w:val="231f20"/>
              </w:rPr>
            </w:pPr>
            <w:r w:rsidDel="00000000" w:rsidR="00000000" w:rsidRPr="00000000">
              <w:rPr>
                <w:rtl w:val="0"/>
              </w:rPr>
              <w:t xml:space="preserve">Students demonstrate their understanding of citizenship by making real-world connections between the context surrounding The Chinese Exclusion Act and that of the present-day United States and the role of immigration and citizenship today.</w:t>
            </w:r>
            <w:r w:rsidDel="00000000" w:rsidR="00000000" w:rsidRPr="00000000">
              <w:rPr>
                <w:rtl w:val="0"/>
              </w:rPr>
            </w:r>
          </w:p>
        </w:tc>
      </w:tr>
    </w:tbl>
    <w:p w:rsidR="00000000" w:rsidDel="00000000" w:rsidP="00000000" w:rsidRDefault="00000000" w:rsidRPr="00000000" w14:paraId="00000047">
      <w:pPr>
        <w:spacing w:after="0" w:lineRule="auto"/>
        <w:rPr>
          <w:color w:val="231f20"/>
        </w:rPr>
      </w:pPr>
      <w:r w:rsidDel="00000000" w:rsidR="00000000" w:rsidRPr="00000000">
        <w:rPr>
          <w:rtl w:val="0"/>
        </w:rPr>
      </w:r>
    </w:p>
    <w:sectPr>
      <w:headerReference r:id="rId28" w:type="default"/>
      <w:footerReference r:id="rId29"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pStyle w:val="Heading6"/>
      <w:rPr/>
    </w:pPr>
    <w:bookmarkStart w:colFirst="0" w:colLast="0" w:name="_wz4xqz6ubvoc" w:id="11"/>
    <w:bookmarkEnd w:id="11"/>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pStyle w:val="Heading5"/>
      <w:rPr/>
    </w:pPr>
    <w:bookmarkStart w:colFirst="0" w:colLast="0" w:name="_11dswytin9xs" w:id="10"/>
    <w:bookmarkEnd w:id="10"/>
    <w:r w:rsidDel="00000000" w:rsidR="00000000" w:rsidRPr="00000000">
      <w:rPr>
        <w:rtl w:val="0"/>
      </w:rPr>
      <w:t xml:space="preserve">Civil Discourse: Citizenship</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231f20"/>
        <w:sz w:val="24"/>
        <w:szCs w:val="24"/>
        <w:lang w:val="en"/>
      </w:rPr>
    </w:rPrDefault>
    <w:pPrDefault>
      <w:pPr>
        <w:spacing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merriam-webster.com/dictionary/brazen" TargetMode="External"/><Relationship Id="rId22" Type="http://schemas.openxmlformats.org/officeDocument/2006/relationships/hyperlink" Target="https://www.merriam-webster.com/dictionary/pomp" TargetMode="External"/><Relationship Id="rId21" Type="http://schemas.openxmlformats.org/officeDocument/2006/relationships/hyperlink" Target="https://www.merriam-webster.com/dictionary/exile" TargetMode="External"/><Relationship Id="rId24" Type="http://schemas.openxmlformats.org/officeDocument/2006/relationships/hyperlink" Target="https://www.merriam-webster.com/dictionary/teeming" TargetMode="External"/><Relationship Id="rId23" Type="http://schemas.openxmlformats.org/officeDocument/2006/relationships/hyperlink" Target="https://www.merriam-webster.com/dictionary/refuse#dictionary-entry-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iviced.org/civil-discourse/module-citizenship/podcasts-and-videos/part-3" TargetMode="External"/><Relationship Id="rId26" Type="http://schemas.openxmlformats.org/officeDocument/2006/relationships/hyperlink" Target="https://civiced.org/pdfs/historical_documents/HistoricalDocument_CenterForCivicEducation_ChineseExclusionAct_1882.pdf" TargetMode="External"/><Relationship Id="rId25" Type="http://schemas.openxmlformats.org/officeDocument/2006/relationships/hyperlink" Target="https://www.merriam-webster.com/dictionary/tempest" TargetMode="External"/><Relationship Id="rId28" Type="http://schemas.openxmlformats.org/officeDocument/2006/relationships/header" Target="header1.xml"/><Relationship Id="rId27" Type="http://schemas.openxmlformats.org/officeDocument/2006/relationships/hyperlink" Target="https://civiced.org/pdfs/historical_documents/HistoricalDocument_CenterForCivicEducation_Poem_NewColossus_EmmaLazarus.pdf" TargetMode="External"/><Relationship Id="rId5" Type="http://schemas.openxmlformats.org/officeDocument/2006/relationships/styles" Target="styles.xml"/><Relationship Id="rId6" Type="http://schemas.openxmlformats.org/officeDocument/2006/relationships/image" Target="media/image3.png"/><Relationship Id="rId29" Type="http://schemas.openxmlformats.org/officeDocument/2006/relationships/footer" Target="footer1.xml"/><Relationship Id="rId7" Type="http://schemas.openxmlformats.org/officeDocument/2006/relationships/hyperlink" Target="https://civiced.org/civil-discourse/module-citizenship/podcasts-and-videos/part-1" TargetMode="External"/><Relationship Id="rId8" Type="http://schemas.openxmlformats.org/officeDocument/2006/relationships/hyperlink" Target="https://civiced.org/civil-discourse/module-citizenship/podcasts-and-videos/part-2" TargetMode="External"/><Relationship Id="rId11" Type="http://schemas.openxmlformats.org/officeDocument/2006/relationships/hyperlink" Target="https://civiced.org/civil-discourse/module-citizenship/podcasts-and-videos/part-5" TargetMode="External"/><Relationship Id="rId10" Type="http://schemas.openxmlformats.org/officeDocument/2006/relationships/hyperlink" Target="https://civiced.org/civil-discourse/module-citizenship/podcasts-and-videos/part-4" TargetMode="External"/><Relationship Id="rId13" Type="http://schemas.openxmlformats.org/officeDocument/2006/relationships/hyperlink" Target="https://civiced.org/pdfs/historical_documents/HistoricalDocument_CenterForCivicEducation_ChineseExclusionAct_1882.pdf" TargetMode="External"/><Relationship Id="rId12" Type="http://schemas.openxmlformats.org/officeDocument/2006/relationships/hyperlink" Target="https://civiced.org/civil-discourse/module-citizenship/podcasts-and-videos/part-6" TargetMode="External"/><Relationship Id="rId15" Type="http://schemas.openxmlformats.org/officeDocument/2006/relationships/hyperlink" Target="https://drive.google.com/file/d/1ZBXTDSfQmb9w2BSojiPYBvsWDa3NRQHj/view?usp=drive_link" TargetMode="External"/><Relationship Id="rId14" Type="http://schemas.openxmlformats.org/officeDocument/2006/relationships/hyperlink" Target="https://civiced.org/pdfs/historical_documents/HistoricalDocument_CenterForCivicEducation_Poem_NewColossus_EmmaLazarus.pdf" TargetMode="External"/><Relationship Id="rId17" Type="http://schemas.openxmlformats.org/officeDocument/2006/relationships/hyperlink" Target="https://drive.google.com/file/d/1GmaQDpvHXFSgz6hmNUv2bjtNBC0u4Em8/view?usp=drive_link" TargetMode="External"/><Relationship Id="rId16" Type="http://schemas.openxmlformats.org/officeDocument/2006/relationships/hyperlink" Target="https://drive.google.com/file/d/1JbCfD2n8M-5LnwXLG9r8uR7xN7JwD3L2/view?usp=drive_link" TargetMode="External"/><Relationship Id="rId19" Type="http://schemas.openxmlformats.org/officeDocument/2006/relationships/hyperlink" Target="https://www.merriam-webster.com/dictionary/astride" TargetMode="External"/><Relationship Id="rId18" Type="http://schemas.openxmlformats.org/officeDocument/2006/relationships/hyperlink" Target="https://drive.google.com/file/d/1gAZUTNwSdLNQokmBnyklSCLXwHtWl96j/view?usp=drive_li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