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Heading2"/>
        <w:spacing w:after="300" w:before="0" w:lineRule="auto"/>
        <w:rPr/>
      </w:pPr>
      <w:bookmarkStart w:colFirst="0" w:colLast="0" w:name="_un0bdpgeqery" w:id="0"/>
      <w:bookmarkEnd w:id="0"/>
      <w:r w:rsidDel="00000000" w:rsidR="00000000" w:rsidRPr="00000000">
        <w:rPr>
          <w:rtl w:val="0"/>
        </w:rPr>
        <w:t xml:space="preserve">Recognizing We the People</w:t>
      </w:r>
    </w:p>
    <w:p w:rsidR="00000000" w:rsidDel="00000000" w:rsidP="00000000" w:rsidRDefault="00000000" w:rsidRPr="00000000" w14:paraId="00000002">
      <w:pPr>
        <w:spacing w:after="200" w:lineRule="auto"/>
        <w:rPr/>
      </w:pPr>
      <w:r w:rsidDel="00000000" w:rsidR="00000000" w:rsidRPr="00000000">
        <w:rPr>
          <w:rtl w:val="0"/>
        </w:rPr>
        <w:t xml:space="preserve">Directions: Create a social media post to answer our compelling question: </w:t>
      </w:r>
      <w:r w:rsidDel="00000000" w:rsidR="00000000" w:rsidRPr="00000000">
        <w:rPr>
          <w:b w:val="1"/>
          <w:rtl w:val="0"/>
        </w:rPr>
        <w:t xml:space="preserve">Are all people recognized in “We the People?”</w:t>
      </w:r>
      <w:r w:rsidDel="00000000" w:rsidR="00000000" w:rsidRPr="00000000">
        <w:rPr>
          <w:rtl w:val="0"/>
        </w:rPr>
        <w:t xml:space="preserve"> If you think all people are recognized in “We the People,” explain why. If not, identify who you think is missing. Provide evidence to support your claim.</w:t>
      </w:r>
    </w:p>
    <w:p w:rsidR="00000000" w:rsidDel="00000000" w:rsidP="00000000" w:rsidRDefault="00000000" w:rsidRPr="00000000" w14:paraId="00000003">
      <w:pPr>
        <w:spacing w:after="0" w:lineRule="auto"/>
        <w:jc w:val="center"/>
        <w:rPr/>
      </w:pPr>
      <w:r w:rsidDel="00000000" w:rsidR="00000000" w:rsidRPr="00000000">
        <w:rPr/>
        <w:drawing>
          <wp:inline distB="0" distT="0" distL="0" distR="0">
            <wp:extent cx="6181289" cy="6634029"/>
            <wp:effectExtent b="0" l="0" r="0" t="0"/>
            <wp:docPr id="1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6"/>
                    <a:srcRect b="0" l="8433" r="8553" t="7084"/>
                    <a:stretch>
                      <a:fillRect/>
                    </a:stretch>
                  </pic:blipFill>
                  <pic:spPr>
                    <a:xfrm>
                      <a:off x="0" y="0"/>
                      <a:ext cx="6181289" cy="663402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627.1999999999998" w:top="1324.8000000000002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IBM Plex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IBM Plex Sans Ligh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Newsreader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5">
    <w:pPr>
      <w:pStyle w:val="Heading6"/>
      <w:rPr/>
    </w:pPr>
    <w:bookmarkStart w:colFirst="0" w:colLast="0" w:name="_wz4xqz6ubvoc" w:id="2"/>
    <w:bookmarkEnd w:id="2"/>
    <w:r w:rsidDel="00000000" w:rsidR="00000000" w:rsidRPr="00000000">
      <w:rPr>
        <w:rtl w:val="0"/>
      </w:rPr>
      <w:t xml:space="preserve">Artwork courtesy of Jackson Reichardt</w:t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</wp:posOffset>
          </wp:positionH>
          <wp:positionV relativeFrom="paragraph">
            <wp:posOffset>-59943</wp:posOffset>
          </wp:positionV>
          <wp:extent cx="6858000" cy="38100"/>
          <wp:effectExtent b="0" l="0" r="0" t="0"/>
          <wp:wrapNone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858000" cy="38100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4">
    <w:pPr>
      <w:pStyle w:val="Heading5"/>
      <w:rPr/>
    </w:pPr>
    <w:bookmarkStart w:colFirst="0" w:colLast="0" w:name="_11dswytin9xs" w:id="1"/>
    <w:bookmarkEnd w:id="1"/>
    <w:r w:rsidDel="00000000" w:rsidR="00000000" w:rsidRPr="00000000">
      <w:rPr/>
      <w:drawing>
        <wp:anchor allowOverlap="1" behindDoc="0" distB="0" distT="0" distL="0" distR="0" hidden="0" layoutInCell="1" locked="0" relativeHeight="0" simplePos="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052275" cy="841248"/>
          <wp:effectExtent b="0" l="0" r="0" t="0"/>
          <wp:wrapSquare wrapText="bothSides" distB="0" distT="0" distL="0" distR="0"/>
          <wp:docPr id="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52275" cy="841248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Newsreader" w:cs="Newsreader" w:eastAsia="Newsreader" w:hAnsi="Newsreader"/>
        <w:color w:val="393435"/>
        <w:sz w:val="24"/>
        <w:szCs w:val="24"/>
        <w:lang w:val="en"/>
      </w:rPr>
    </w:rPrDefault>
    <w:pPrDefault>
      <w:pPr>
        <w:spacing w:after="300" w:line="30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600" w:line="192.00000000000003" w:lineRule="auto"/>
    </w:pPr>
    <w:rPr>
      <w:rFonts w:ascii="IBM Plex Sans" w:cs="IBM Plex Sans" w:eastAsia="IBM Plex Sans" w:hAnsi="IBM Plex Sans"/>
      <w:b w:val="1"/>
      <w:color w:val="231f20"/>
      <w:sz w:val="120"/>
      <w:szCs w:val="120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300" w:line="192.00000000000003" w:lineRule="auto"/>
    </w:pPr>
    <w:rPr>
      <w:rFonts w:ascii="IBM Plex Sans" w:cs="IBM Plex Sans" w:eastAsia="IBM Plex Sans" w:hAnsi="IBM Plex Sans"/>
      <w:b w:val="1"/>
      <w:color w:val="231f20"/>
      <w:sz w:val="64"/>
      <w:szCs w:val="64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300" w:line="192.00000000000003" w:lineRule="auto"/>
    </w:pPr>
    <w:rPr>
      <w:rFonts w:ascii="IBM Plex Sans" w:cs="IBM Plex Sans" w:eastAsia="IBM Plex Sans" w:hAnsi="IBM Plex Sans"/>
      <w:b w:val="1"/>
      <w:color w:val="231f20"/>
      <w:sz w:val="30"/>
      <w:szCs w:val="30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300" w:line="192.00000000000003" w:lineRule="auto"/>
    </w:pPr>
    <w:rPr>
      <w:rFonts w:ascii="IBM Plex Sans" w:cs="IBM Plex Sans" w:eastAsia="IBM Plex Sans" w:hAnsi="IBM Plex Sans"/>
      <w:b w:val="1"/>
      <w:color w:val="231f20"/>
    </w:rPr>
  </w:style>
  <w:style w:type="paragraph" w:styleId="Heading5">
    <w:name w:val="heading 5"/>
    <w:basedOn w:val="Normal"/>
    <w:next w:val="Normal"/>
    <w:pPr>
      <w:keepNext w:val="1"/>
      <w:keepLines w:val="1"/>
      <w:spacing w:after="600" w:line="192.00000000000003" w:lineRule="auto"/>
      <w:ind w:left="-720" w:firstLine="0"/>
      <w:jc w:val="right"/>
    </w:pPr>
    <w:rPr>
      <w:rFonts w:ascii="IBM Plex Sans" w:cs="IBM Plex Sans" w:eastAsia="IBM Plex Sans" w:hAnsi="IBM Plex Sans"/>
      <w:color w:val="504b4b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spacing w:after="0" w:line="192.00000000000003" w:lineRule="auto"/>
      <w:ind w:left="-720" w:firstLine="0"/>
      <w:jc w:val="right"/>
    </w:pPr>
    <w:rPr>
      <w:rFonts w:ascii="IBM Plex Sans" w:cs="IBM Plex Sans" w:eastAsia="IBM Plex Sans" w:hAnsi="IBM Plex Sans"/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0" w:line="180" w:lineRule="auto"/>
    </w:pPr>
    <w:rPr>
      <w:rFonts w:ascii="IBM Plex Sans" w:cs="IBM Plex Sans" w:eastAsia="IBM Plex Sans" w:hAnsi="IBM Plex Sans"/>
      <w:b w:val="1"/>
      <w:color w:val="231f20"/>
      <w:sz w:val="220"/>
      <w:szCs w:val="220"/>
    </w:rPr>
  </w:style>
  <w:style w:type="paragraph" w:styleId="Subtitle">
    <w:name w:val="Subtitle"/>
    <w:basedOn w:val="Normal"/>
    <w:next w:val="Normal"/>
    <w:pPr>
      <w:keepNext w:val="1"/>
      <w:keepLines w:val="1"/>
      <w:spacing w:after="0" w:line="180" w:lineRule="auto"/>
    </w:pPr>
    <w:rPr>
      <w:rFonts w:ascii="IBM Plex Sans Light" w:cs="IBM Plex Sans Light" w:eastAsia="IBM Plex Sans Light" w:hAnsi="IBM Plex Sans Light"/>
      <w:color w:val="231f20"/>
      <w:sz w:val="120"/>
      <w:szCs w:val="12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3.jp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IBMPlexSans-regular.ttf"/><Relationship Id="rId2" Type="http://schemas.openxmlformats.org/officeDocument/2006/relationships/font" Target="fonts/IBMPlexSans-bold.ttf"/><Relationship Id="rId3" Type="http://schemas.openxmlformats.org/officeDocument/2006/relationships/font" Target="fonts/IBMPlexSans-italic.ttf"/><Relationship Id="rId4" Type="http://schemas.openxmlformats.org/officeDocument/2006/relationships/font" Target="fonts/IBMPlexSans-boldItalic.ttf"/><Relationship Id="rId11" Type="http://schemas.openxmlformats.org/officeDocument/2006/relationships/font" Target="fonts/Newsreader-italic.ttf"/><Relationship Id="rId10" Type="http://schemas.openxmlformats.org/officeDocument/2006/relationships/font" Target="fonts/Newsreader-bold.ttf"/><Relationship Id="rId12" Type="http://schemas.openxmlformats.org/officeDocument/2006/relationships/font" Target="fonts/Newsreader-boldItalic.ttf"/><Relationship Id="rId9" Type="http://schemas.openxmlformats.org/officeDocument/2006/relationships/font" Target="fonts/Newsreader-regular.ttf"/><Relationship Id="rId5" Type="http://schemas.openxmlformats.org/officeDocument/2006/relationships/font" Target="fonts/IBMPlexSansLight-regular.ttf"/><Relationship Id="rId6" Type="http://schemas.openxmlformats.org/officeDocument/2006/relationships/font" Target="fonts/IBMPlexSansLight-bold.ttf"/><Relationship Id="rId7" Type="http://schemas.openxmlformats.org/officeDocument/2006/relationships/font" Target="fonts/IBMPlexSansLight-italic.ttf"/><Relationship Id="rId8" Type="http://schemas.openxmlformats.org/officeDocument/2006/relationships/font" Target="fonts/IBMPlexSansLight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